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B7E1F">
      <w:pPr>
        <w:pStyle w:val="3"/>
        <w:widowControl/>
        <w:spacing w:beforeAutospacing="0" w:after="140" w:afterAutospacing="0" w:line="550" w:lineRule="exact"/>
        <w:rPr>
          <w:rFonts w:ascii="黑体" w:hAnsi="黑体" w:eastAsia="黑体" w:cs="黑体"/>
          <w:color w:val="000000"/>
          <w:sz w:val="32"/>
          <w:szCs w:val="32"/>
        </w:rPr>
      </w:pPr>
      <w:bookmarkStart w:id="5" w:name="_GoBack"/>
      <w:bookmarkEnd w:id="5"/>
      <w:r>
        <w:rPr>
          <w:rFonts w:hint="eastAsia" w:ascii="黑体" w:hAnsi="黑体" w:eastAsia="黑体" w:cs="黑体"/>
          <w:color w:val="000000"/>
          <w:sz w:val="32"/>
          <w:szCs w:val="32"/>
        </w:rPr>
        <w:t>附件1</w:t>
      </w:r>
    </w:p>
    <w:p w14:paraId="6FC81A77">
      <w:pPr>
        <w:pStyle w:val="3"/>
        <w:widowControl/>
        <w:spacing w:beforeAutospacing="0" w:after="140" w:afterAutospacing="0" w:line="550" w:lineRule="exact"/>
        <w:rPr>
          <w:rFonts w:ascii="黑体" w:hAnsi="黑体" w:eastAsia="黑体" w:cs="黑体"/>
          <w:color w:val="000000"/>
          <w:sz w:val="32"/>
          <w:szCs w:val="32"/>
        </w:rPr>
      </w:pPr>
    </w:p>
    <w:p w14:paraId="3D53D4E7">
      <w:pPr>
        <w:pStyle w:val="3"/>
        <w:widowControl/>
        <w:spacing w:beforeAutospacing="0" w:after="140" w:afterAutospacing="0" w:line="550" w:lineRule="exact"/>
        <w:ind w:left="420" w:leftChars="200" w:firstLine="440" w:firstLineChars="10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陕西省第二届卓越工程师大赛</w:t>
      </w:r>
    </w:p>
    <w:p w14:paraId="55AB5B89">
      <w:pPr>
        <w:pStyle w:val="3"/>
        <w:widowControl/>
        <w:spacing w:beforeAutospacing="0" w:after="140" w:afterAutospacing="0" w:line="550" w:lineRule="exact"/>
        <w:ind w:left="420" w:leftChars="200" w:firstLine="440" w:firstLineChars="10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参赛条件及安排</w:t>
      </w:r>
    </w:p>
    <w:p w14:paraId="4C2449CC">
      <w:pPr>
        <w:pStyle w:val="4"/>
        <w:spacing w:after="0" w:line="540" w:lineRule="exact"/>
        <w:ind w:firstLine="5120" w:firstLineChars="1600"/>
        <w:rPr>
          <w:rFonts w:ascii="仿宋_GB2312" w:hAnsi="仿宋_GB2312" w:eastAsia="仿宋_GB2312" w:cs="仿宋_GB2312"/>
          <w:color w:val="000000"/>
          <w:sz w:val="32"/>
          <w:szCs w:val="32"/>
        </w:rPr>
      </w:pPr>
    </w:p>
    <w:p w14:paraId="7E751FE1">
      <w:pPr>
        <w:pStyle w:val="4"/>
        <w:numPr>
          <w:ilvl w:val="0"/>
          <w:numId w:val="1"/>
        </w:numPr>
        <w:spacing w:after="0" w:line="540" w:lineRule="exact"/>
        <w:ind w:firstLine="640" w:firstLineChars="0"/>
        <w:jc w:val="left"/>
        <w:rPr>
          <w:rFonts w:ascii="黑体" w:hAnsi="黑体" w:eastAsia="黑体" w:cs="黑体"/>
          <w:color w:val="000000"/>
          <w:sz w:val="32"/>
          <w:szCs w:val="32"/>
        </w:rPr>
      </w:pPr>
      <w:r>
        <w:rPr>
          <w:rFonts w:hint="eastAsia" w:ascii="黑体" w:hAnsi="黑体" w:eastAsia="黑体" w:cs="黑体"/>
          <w:color w:val="000000"/>
          <w:sz w:val="32"/>
          <w:szCs w:val="32"/>
        </w:rPr>
        <w:t>揭榜挑战赛</w:t>
      </w:r>
    </w:p>
    <w:p w14:paraId="1E6FD684">
      <w:pPr>
        <w:pStyle w:val="4"/>
        <w:numPr>
          <w:ilvl w:val="0"/>
          <w:numId w:val="2"/>
        </w:numPr>
        <w:spacing w:after="0" w:line="540" w:lineRule="exact"/>
        <w:ind w:firstLine="643"/>
        <w:jc w:val="left"/>
        <w:rPr>
          <w:rFonts w:hint="eastAsia" w:ascii="楷体_GB2312" w:hAnsi="楷体" w:eastAsia="楷体_GB2312" w:cs="楷体"/>
          <w:b/>
          <w:color w:val="000000"/>
          <w:sz w:val="32"/>
          <w:szCs w:val="32"/>
        </w:rPr>
      </w:pPr>
      <w:r>
        <w:rPr>
          <w:rFonts w:hint="eastAsia" w:ascii="楷体_GB2312" w:hAnsi="楷体" w:eastAsia="楷体_GB2312" w:cs="楷体"/>
          <w:b/>
          <w:color w:val="000000"/>
          <w:sz w:val="32"/>
          <w:szCs w:val="32"/>
        </w:rPr>
        <w:t>参赛条件</w:t>
      </w:r>
    </w:p>
    <w:p w14:paraId="345E8B68">
      <w:pPr>
        <w:pStyle w:val="4"/>
        <w:spacing w:after="0" w:line="54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1.项目发榜单位条件：</w:t>
      </w:r>
    </w:p>
    <w:p w14:paraId="794FE1F4">
      <w:pPr>
        <w:pStyle w:val="4"/>
        <w:spacing w:after="0" w:line="54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（1）企事业单位、科研院所或新型研发机构，具备独立法人资格；</w:t>
      </w:r>
    </w:p>
    <w:p w14:paraId="176038F9">
      <w:pPr>
        <w:pStyle w:val="4"/>
        <w:spacing w:after="0" w:line="54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（2）在研发、生产或服务过程中遇到技术难题或创新需求，且该问题或需求具有明确的应用场景和市场前景；</w:t>
      </w:r>
    </w:p>
    <w:p w14:paraId="239403E2">
      <w:pPr>
        <w:pStyle w:val="4"/>
        <w:spacing w:after="0" w:line="54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（3）近3年内应无重大违法、违规行为，信用记录良好；</w:t>
      </w:r>
    </w:p>
    <w:p w14:paraId="74793676">
      <w:pPr>
        <w:pStyle w:val="4"/>
        <w:spacing w:after="0" w:line="54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（4）能够保障项目实施的资金投入，提供必要的研发实施支持和配套条件，在项目完成后能够率先在本单位推动应用。</w:t>
      </w:r>
    </w:p>
    <w:p w14:paraId="3F1A5896">
      <w:pPr>
        <w:pStyle w:val="4"/>
        <w:spacing w:after="0" w:line="54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发榜项目应为在研发、生产或服务过程中急需解决的技术问题或创新需求，包括但不限于技术研发、产品开发、技术改造、工艺优化等。鼓励发榜单位将重大技术难题或涉及商业秘密的卡口问题拆分为若干个细分需求。</w:t>
      </w:r>
    </w:p>
    <w:p w14:paraId="35088033">
      <w:pPr>
        <w:pStyle w:val="4"/>
        <w:spacing w:after="0" w:line="54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3.揭榜应征者条件：</w:t>
      </w:r>
    </w:p>
    <w:p w14:paraId="2342F165">
      <w:pPr>
        <w:pStyle w:val="4"/>
        <w:spacing w:after="0" w:line="54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（1）相关领域具备工程系统操作、设计、管理、评估能力的省内外工程师（团队）；</w:t>
      </w:r>
    </w:p>
    <w:p w14:paraId="3BD77768">
      <w:pPr>
        <w:pStyle w:val="4"/>
        <w:spacing w:after="0" w:line="54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（2）需针对已公布的项目需求，提交内容明确、思路清晰、技术路线切实可行、数据真实的解决方案；</w:t>
      </w:r>
    </w:p>
    <w:p w14:paraId="57583817">
      <w:pPr>
        <w:pStyle w:val="4"/>
        <w:spacing w:after="0" w:line="54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（3）解决方案中应设定清晰的预期目标，并明确对应的技术指标。同时，需制定详尽的项目完成时间表，包括各个关键阶段的进度安排；</w:t>
      </w:r>
    </w:p>
    <w:p w14:paraId="1E9349D9">
      <w:pPr>
        <w:pStyle w:val="4"/>
        <w:spacing w:after="0" w:line="54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（4）具有合法自主的知识产权，不涉及任何知识产权纠纷。解决方案所涉及的知识产权应为自有知识产权，若系单位或第三方知识产权，需提供相应的授权证明；</w:t>
      </w:r>
    </w:p>
    <w:p w14:paraId="00AB9E04">
      <w:pPr>
        <w:pStyle w:val="4"/>
        <w:spacing w:after="0" w:line="540" w:lineRule="exact"/>
        <w:ind w:firstLine="640"/>
        <w:rPr>
          <w:rFonts w:hint="eastAsia"/>
        </w:rPr>
      </w:pPr>
      <w:r>
        <w:rPr>
          <w:rFonts w:hint="eastAsia" w:ascii="仿宋_GB2312" w:hAnsi="仿宋_GB2312" w:eastAsia="仿宋_GB2312" w:cs="仿宋_GB2312"/>
          <w:color w:val="000000"/>
          <w:sz w:val="32"/>
          <w:szCs w:val="32"/>
        </w:rPr>
        <w:t>（5）往届获奖项目原则不参加比赛。</w:t>
      </w:r>
    </w:p>
    <w:p w14:paraId="6BBCA578">
      <w:pPr>
        <w:pStyle w:val="4"/>
        <w:spacing w:after="0" w:line="54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赛者需为省内外工程师个人或者团队；参赛团队核心成员不少于3人（限12人以内），包括项目负责人和技术负责人（可为同一人），技术负责人必须为工程师（参赛者需提供工程技术领域职称/职业资格/专业技术等级证书，如团队内有外籍工程师需提供从事工程技术工作佐证材料）；科技成果持有人具有合法的自主知识产权，且无产权纠纷，并提供相关文件。</w:t>
      </w:r>
    </w:p>
    <w:p w14:paraId="4A86FAB7">
      <w:pPr>
        <w:pStyle w:val="3"/>
        <w:spacing w:beforeAutospacing="0" w:afterAutospacing="0"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参赛者不能同时报名</w:t>
      </w:r>
      <w:bookmarkStart w:id="0" w:name="OLE_LINK12"/>
      <w:r>
        <w:rPr>
          <w:rFonts w:hint="eastAsia" w:ascii="仿宋_GB2312" w:hAnsi="仿宋_GB2312" w:eastAsia="仿宋_GB2312" w:cs="仿宋_GB2312"/>
          <w:color w:val="000000"/>
          <w:sz w:val="32"/>
          <w:szCs w:val="32"/>
        </w:rPr>
        <w:t>揭榜挑战赛和科创薪火赛</w:t>
      </w:r>
      <w:bookmarkEnd w:id="0"/>
      <w:r>
        <w:rPr>
          <w:rFonts w:hint="eastAsia" w:ascii="仿宋_GB2312" w:hAnsi="仿宋_GB2312" w:eastAsia="仿宋_GB2312" w:cs="仿宋_GB2312"/>
          <w:color w:val="000000"/>
          <w:sz w:val="32"/>
          <w:szCs w:val="32"/>
        </w:rPr>
        <w:t>，仅可选择其中一个赛道参赛；参赛队伍的核心成员不得在不同专业组或队伍中重复报名；参加揭榜挑战赛时，同一参赛队伍可揭榜多个项目。</w:t>
      </w:r>
    </w:p>
    <w:p w14:paraId="5CBAED52">
      <w:pPr>
        <w:pStyle w:val="3"/>
        <w:numPr>
          <w:ilvl w:val="0"/>
          <w:numId w:val="2"/>
        </w:numPr>
        <w:spacing w:beforeAutospacing="0" w:afterAutospacing="0" w:line="540" w:lineRule="exact"/>
        <w:ind w:firstLine="641" w:firstLineChars="200"/>
        <w:rPr>
          <w:rFonts w:hint="eastAsia" w:ascii="楷体_GB2312" w:hAnsi="楷体" w:eastAsia="楷体_GB2312" w:cs="楷体"/>
          <w:b/>
          <w:color w:val="000000"/>
          <w:sz w:val="32"/>
          <w:szCs w:val="32"/>
        </w:rPr>
      </w:pPr>
      <w:r>
        <w:rPr>
          <w:rFonts w:hint="eastAsia" w:ascii="楷体_GB2312" w:hAnsi="楷体" w:eastAsia="楷体_GB2312" w:cs="楷体"/>
          <w:b/>
          <w:color w:val="000000"/>
          <w:sz w:val="32"/>
          <w:szCs w:val="32"/>
        </w:rPr>
        <w:t>比赛安排</w:t>
      </w:r>
    </w:p>
    <w:p w14:paraId="0E93AC48">
      <w:pPr>
        <w:pStyle w:val="3"/>
        <w:spacing w:beforeAutospacing="0" w:afterAutospacing="0" w:line="540" w:lineRule="exact"/>
        <w:ind w:firstLine="640" w:firstLineChars="200"/>
        <w:rPr>
          <w:rFonts w:ascii="仿宋_GB2312" w:hAnsi="仿宋_GB2312" w:eastAsia="仿宋_GB2312" w:cs="仿宋_GB2312"/>
          <w:color w:val="000000"/>
          <w:sz w:val="32"/>
          <w:szCs w:val="32"/>
        </w:rPr>
      </w:pPr>
      <w:bookmarkStart w:id="1" w:name="_Hlk226560497"/>
      <w:r>
        <w:rPr>
          <w:rFonts w:hint="eastAsia" w:ascii="仿宋_GB2312" w:hAnsi="仿宋_GB2312" w:eastAsia="仿宋_GB2312" w:cs="仿宋_GB2312"/>
          <w:color w:val="000000"/>
          <w:sz w:val="32"/>
          <w:szCs w:val="32"/>
        </w:rPr>
        <w:t>1.2026年5月15日前，完成需求征集。征集全国企事业单位、科研院所、新型研发机构等在研发、生产或服务过程中遇到技术难题或创新需求，且该问题或需求具有明确的应用场景和市场前景，包括但不限于技术研发、产品开发、技术改造、工艺优化等。鼓励发榜单位将重大技术难题或涉及商业秘密的卡口问题拆分为若干个细分需求。</w:t>
      </w:r>
    </w:p>
    <w:p w14:paraId="5DCEB20D">
      <w:pPr>
        <w:pStyle w:val="3"/>
        <w:spacing w:beforeAutospacing="0" w:afterAutospacing="0"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2.2026年5月20日开始进行需求发布。大赛组委会办公室将对征集到的需求统一整理，并组织专家团队进行综合评估。评估将基于需求的重要性、实施可行性及技术难度等展开。经过梳理与分析后，将形成大赛揭榜挑战赛的项目公告，集中公布。大赛组委会办公室将持续开放需求征集通道，动态更新榜单。参赛应征截止日期前未被揭榜的项目，将不参与本届比赛，自动转入下届大赛的揭榜挑战项目储备库中。</w:t>
      </w:r>
    </w:p>
    <w:p w14:paraId="315B2362">
      <w:pPr>
        <w:pStyle w:val="3"/>
        <w:spacing w:beforeAutospacing="0" w:afterAutospacing="0" w:line="540" w:lineRule="exact"/>
        <w:ind w:firstLine="640" w:firstLineChars="200"/>
        <w:rPr>
          <w:rFonts w:ascii="仿宋_GB2312" w:hAnsi="仿宋_GB2312" w:eastAsia="仿宋_GB2312" w:cs="仿宋_GB2312"/>
          <w:color w:val="000000"/>
          <w:sz w:val="32"/>
          <w:szCs w:val="32"/>
        </w:rPr>
      </w:pPr>
      <w:bookmarkStart w:id="2" w:name="OLE_LINK5"/>
      <w:r>
        <w:rPr>
          <w:rFonts w:hint="eastAsia" w:ascii="仿宋_GB2312" w:hAnsi="仿宋_GB2312" w:eastAsia="仿宋_GB2312" w:cs="仿宋_GB2312"/>
          <w:color w:val="000000"/>
          <w:sz w:val="32"/>
          <w:szCs w:val="32"/>
        </w:rPr>
        <w:t>3.2026年6月20日前，完成参赛应征。</w:t>
      </w:r>
      <w:bookmarkEnd w:id="2"/>
      <w:r>
        <w:rPr>
          <w:rFonts w:hint="eastAsia" w:ascii="仿宋_GB2312" w:hAnsi="仿宋_GB2312" w:eastAsia="仿宋_GB2312" w:cs="仿宋_GB2312"/>
          <w:color w:val="000000"/>
          <w:sz w:val="32"/>
          <w:szCs w:val="32"/>
        </w:rPr>
        <w:t>符合参赛条件的参赛者登录大赛官网，针对发榜的项目提交解决方案。</w:t>
      </w:r>
    </w:p>
    <w:p w14:paraId="7EAD7A0E">
      <w:pPr>
        <w:pStyle w:val="3"/>
        <w:spacing w:beforeAutospacing="0" w:afterAutospacing="0"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揭榜挑战赛参赛者须对所填信息的准确性、真实性以及知识产权、允许主办方非商业性使用、宣传等问题作出正式确认和承诺，并在报名注册时网签承诺书。解决方案制作成PPT，同时提交由参赛者讲述解决方案PPT的视频(5分钟以内)。</w:t>
      </w:r>
    </w:p>
    <w:p w14:paraId="5CA5C82A">
      <w:pPr>
        <w:spacing w:line="54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4.2026年6月30日前，完成初赛。大赛执行委员会办公室组织评委、相关专家根据行业标准及有关指标，对参赛项目进行分析、评估、综合研判，并进行知识产权查证（线上线下相结合）。对参赛的8个专业组，分别评选出20个，总计160个参赛队参加行业赛（复赛）。</w:t>
      </w:r>
    </w:p>
    <w:p w14:paraId="1510282C">
      <w:pPr>
        <w:spacing w:line="54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5.2026年7月15日前，完成参赛辅导培训、评委规则培训。对入围行业赛（复赛）的项目提供专业化赛前培训辅导；对赛事评委进行评判标准和相关规则的培训。</w:t>
      </w:r>
    </w:p>
    <w:p w14:paraId="57B1804A">
      <w:pPr>
        <w:pStyle w:val="3"/>
        <w:spacing w:beforeAutospacing="0" w:afterAutospacing="0"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6.2026年8月10日前，完成行业赛（复赛）。采用“路演+答辩”、“操作演示”的方式进行比赛。</w:t>
      </w:r>
      <w:bookmarkStart w:id="3" w:name="OLE_LINK1"/>
      <w:r>
        <w:rPr>
          <w:rFonts w:hint="eastAsia" w:ascii="仿宋_GB2312" w:hAnsi="仿宋_GB2312" w:eastAsia="仿宋_GB2312" w:cs="仿宋_GB2312"/>
          <w:color w:val="000000"/>
          <w:sz w:val="32"/>
          <w:szCs w:val="32"/>
        </w:rPr>
        <w:t>路演内容包括项目简介、核心竞争力、研发进展、市场前景、资金需求等。8个专业组各评选3个，共计24个参赛队参加决赛。</w:t>
      </w:r>
    </w:p>
    <w:bookmarkEnd w:id="3"/>
    <w:p w14:paraId="4B9E6783">
      <w:pPr>
        <w:pStyle w:val="3"/>
        <w:spacing w:beforeAutospacing="0" w:afterAutospacing="0"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7.2026年10月30日前，完成决赛和下一届赛事启动仪式。根据决赛评审规则，采用“路演+答辩”、“操作演示”的方式进行比赛。路演内容包括项目简介、核心竞争力、研发进展、市场前景等。决赛完毕，举办下一届赛事启动仪式及奖项颁发。</w:t>
      </w:r>
    </w:p>
    <w:bookmarkEnd w:id="1"/>
    <w:p w14:paraId="14E529E6">
      <w:pPr>
        <w:pStyle w:val="3"/>
        <w:numPr>
          <w:ilvl w:val="0"/>
          <w:numId w:val="1"/>
        </w:numPr>
        <w:spacing w:beforeAutospacing="0" w:afterAutospacing="0" w:line="540" w:lineRule="exact"/>
        <w:ind w:firstLine="640"/>
        <w:rPr>
          <w:rFonts w:ascii="黑体" w:hAnsi="黑体" w:eastAsia="黑体" w:cs="黑体"/>
          <w:color w:val="000000"/>
          <w:sz w:val="32"/>
          <w:szCs w:val="32"/>
        </w:rPr>
      </w:pPr>
      <w:r>
        <w:rPr>
          <w:rFonts w:hint="eastAsia" w:ascii="黑体" w:hAnsi="黑体" w:eastAsia="黑体" w:cs="黑体"/>
          <w:color w:val="000000"/>
          <w:sz w:val="32"/>
          <w:szCs w:val="32"/>
        </w:rPr>
        <w:t>科创薪火赛</w:t>
      </w:r>
    </w:p>
    <w:p w14:paraId="52ABCEF1">
      <w:pPr>
        <w:pStyle w:val="3"/>
        <w:numPr>
          <w:ilvl w:val="0"/>
          <w:numId w:val="3"/>
        </w:numPr>
        <w:spacing w:beforeAutospacing="0" w:afterAutospacing="0" w:line="540" w:lineRule="exact"/>
        <w:ind w:left="420" w:leftChars="200"/>
        <w:rPr>
          <w:rFonts w:hint="eastAsia" w:ascii="楷体_GB2312" w:hAnsi="楷体" w:eastAsia="楷体_GB2312" w:cs="楷体"/>
          <w:b/>
          <w:color w:val="000000"/>
          <w:sz w:val="32"/>
          <w:szCs w:val="32"/>
        </w:rPr>
      </w:pPr>
      <w:r>
        <w:rPr>
          <w:rFonts w:hint="eastAsia" w:ascii="楷体_GB2312" w:hAnsi="楷体" w:eastAsia="楷体_GB2312" w:cs="楷体"/>
          <w:b/>
          <w:color w:val="000000"/>
          <w:sz w:val="32"/>
          <w:szCs w:val="32"/>
        </w:rPr>
        <w:t>参赛条件</w:t>
      </w:r>
    </w:p>
    <w:p w14:paraId="15DE01A6">
      <w:pPr>
        <w:pStyle w:val="3"/>
        <w:spacing w:beforeAutospacing="0" w:afterAutospacing="0"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参赛者需具备自主研发的成果或产品，具有创新技术或未投入应用的专利，对参赛项目拥有合法自主的知识产权和使用权，不涉及任何知识产权纠纷。若系单位或第三方知识产权，需提供相应的授权证明。参赛者需通过路演、专家评审以及与投融资机构的对接，实现项目的孵化与落地。 </w:t>
      </w:r>
    </w:p>
    <w:p w14:paraId="15075A85">
      <w:pPr>
        <w:pStyle w:val="3"/>
        <w:spacing w:beforeAutospacing="0" w:afterAutospacing="0"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2.参赛项目需同时满足以下条件：</w:t>
      </w:r>
    </w:p>
    <w:p w14:paraId="359B23C9">
      <w:pPr>
        <w:pStyle w:val="3"/>
        <w:spacing w:beforeAutospacing="0" w:afterAutospacing="0"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（1）项目需拥有创新性的产品、技术或商业模式； </w:t>
      </w:r>
    </w:p>
    <w:p w14:paraId="191A9121">
      <w:pPr>
        <w:pStyle w:val="3"/>
        <w:spacing w:beforeAutospacing="0" w:afterAutospacing="0"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（2）项目应能针对某一专业领域的工程问题提出切实可行的解决方案，并具备显著的商业开发潜力和广阔的市场发展空间； </w:t>
      </w:r>
    </w:p>
    <w:p w14:paraId="16664DFE">
      <w:pPr>
        <w:pStyle w:val="3"/>
        <w:spacing w:beforeAutospacing="0" w:afterAutospacing="0"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（3）项目所提出的成果、产品或服务必须符合国家法律法规和产业政策的要求；</w:t>
      </w:r>
    </w:p>
    <w:p w14:paraId="267AE4E5">
      <w:pPr>
        <w:pStyle w:val="4"/>
        <w:spacing w:after="0" w:line="54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（4）往届获奖项目原则不参加比赛。</w:t>
      </w:r>
    </w:p>
    <w:p w14:paraId="655D63E5">
      <w:pPr>
        <w:pStyle w:val="4"/>
        <w:spacing w:after="0" w:line="54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赛者需为省内外工程师个人、团队及有关单位；参赛团队及单位核心成员不少于3人（限12人以内），包括项目负责人和技术负责人（可为同一人），技术负责人必须为工程师（参赛者需提供工程技术领域职称/职业资格/专业技术等级证书，如团队内有外籍工程师需提供从事工程技术工作佐证材料）；科技成果持有人、具有合法的自主知识产权，且无产权纠纷，并提供相关文件。</w:t>
      </w:r>
    </w:p>
    <w:p w14:paraId="03D1A2CA">
      <w:pPr>
        <w:pStyle w:val="3"/>
        <w:spacing w:beforeAutospacing="0" w:afterAutospacing="0"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参赛者不能同时报名揭榜挑战赛和科创薪火赛，仅可选择其中一个赛道参赛；参赛队伍的核心成员不得在不同专业组或队伍中重复报名；参加科创薪火赛时，同一参赛队伍仅可申报一个项目。</w:t>
      </w:r>
    </w:p>
    <w:p w14:paraId="02861275">
      <w:pPr>
        <w:pStyle w:val="3"/>
        <w:numPr>
          <w:ilvl w:val="0"/>
          <w:numId w:val="3"/>
        </w:numPr>
        <w:spacing w:beforeAutospacing="0" w:afterAutospacing="0" w:line="540" w:lineRule="exact"/>
        <w:ind w:left="420" w:leftChars="200"/>
        <w:rPr>
          <w:rFonts w:hint="eastAsia" w:ascii="楷体_GB2312" w:hAnsi="楷体" w:eastAsia="楷体_GB2312" w:cs="楷体"/>
          <w:b/>
          <w:color w:val="000000"/>
          <w:sz w:val="32"/>
          <w:szCs w:val="32"/>
        </w:rPr>
      </w:pPr>
      <w:r>
        <w:rPr>
          <w:rFonts w:hint="eastAsia" w:ascii="楷体_GB2312" w:hAnsi="楷体" w:eastAsia="楷体_GB2312" w:cs="楷体"/>
          <w:b/>
          <w:color w:val="000000"/>
          <w:sz w:val="32"/>
          <w:szCs w:val="32"/>
        </w:rPr>
        <w:t>比赛安排</w:t>
      </w:r>
    </w:p>
    <w:p w14:paraId="2758251E">
      <w:pPr>
        <w:pStyle w:val="3"/>
        <w:spacing w:beforeAutospacing="0" w:afterAutospacing="0" w:line="540" w:lineRule="exact"/>
        <w:ind w:firstLine="640" w:firstLineChars="200"/>
        <w:rPr>
          <w:rFonts w:ascii="仿宋_GB2312" w:hAnsi="仿宋_GB2312" w:eastAsia="仿宋_GB2312" w:cs="仿宋_GB2312"/>
          <w:color w:val="000000"/>
          <w:sz w:val="32"/>
          <w:szCs w:val="32"/>
        </w:rPr>
      </w:pPr>
      <w:bookmarkStart w:id="4" w:name="_Hlk226560534"/>
      <w:r>
        <w:rPr>
          <w:rFonts w:hint="eastAsia" w:ascii="仿宋_GB2312" w:hAnsi="仿宋_GB2312" w:eastAsia="仿宋_GB2312" w:cs="仿宋_GB2312"/>
          <w:color w:val="000000"/>
          <w:sz w:val="32"/>
          <w:szCs w:val="32"/>
        </w:rPr>
        <w:t>1.2026年6月20日前，完成报名。符合参赛条件的参赛者登录大赛官网提交参赛项目。</w:t>
      </w:r>
    </w:p>
    <w:p w14:paraId="3C9D0DCA">
      <w:pPr>
        <w:spacing w:line="54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kern w:val="0"/>
          <w:sz w:val="32"/>
          <w:szCs w:val="32"/>
          <w:lang w:bidi="ar"/>
        </w:rPr>
        <w:t>.2026年6月30日前，完成初赛。大赛执行委员会办公室组织评委、相关专家根据行业标准及有关指标，对参赛项目进行分析、评估、综合研判，并进行知识产权查证（线上线下相结合）。对参赛的8个专业组，分别评选出20个，总计160个参赛队参加行业赛（复赛）。</w:t>
      </w:r>
    </w:p>
    <w:p w14:paraId="2D57D3C4">
      <w:pPr>
        <w:spacing w:line="54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3.2026年7月15日前，完成参赛辅导培训、评委规则培训。对入围行业赛（复赛）的项目提供专业化赛前培训辅导；对赛事评委进行评判标准和相关规则的培训。</w:t>
      </w:r>
    </w:p>
    <w:p w14:paraId="4FA0625D">
      <w:pPr>
        <w:pStyle w:val="3"/>
        <w:spacing w:beforeAutospacing="0" w:afterAutospacing="0"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4.2026年8月10日前，完成行业赛（复赛）。采用“路演+答辩”、“操作演示”的方式进行比赛。路演内容包括项目简介、核心竞争力、研发进展、市场前景、资金需求等。8个专业组各评选3个，共计24个参赛队参加决赛。</w:t>
      </w:r>
    </w:p>
    <w:p w14:paraId="4F253515">
      <w:pPr>
        <w:pStyle w:val="3"/>
        <w:spacing w:beforeAutospacing="0" w:afterAutospacing="0"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5.2026年10月30日前，完成决赛和下一届赛事启动仪式。根据决赛评审规则，采用“路演+答辩”、“操作演示”的方式进行比赛。路演内容包括项目简介、核心竞争力、研发进展、市场前景等。决赛完毕，举办下一届赛事启动仪式及奖项颁发。</w:t>
      </w:r>
    </w:p>
    <w:bookmarkEnd w:id="4"/>
    <w:p w14:paraId="2E27AF38">
      <w:pPr>
        <w:pStyle w:val="3"/>
        <w:numPr>
          <w:ilvl w:val="0"/>
          <w:numId w:val="1"/>
        </w:numPr>
        <w:spacing w:beforeAutospacing="0" w:afterAutospacing="0" w:line="540" w:lineRule="exact"/>
        <w:ind w:firstLine="640"/>
        <w:rPr>
          <w:rFonts w:ascii="黑体" w:hAnsi="黑体" w:eastAsia="黑体" w:cs="黑体"/>
          <w:color w:val="000000"/>
          <w:sz w:val="32"/>
          <w:szCs w:val="32"/>
        </w:rPr>
      </w:pPr>
      <w:r>
        <w:rPr>
          <w:rFonts w:hint="eastAsia" w:ascii="黑体" w:hAnsi="黑体" w:eastAsia="黑体" w:cs="黑体"/>
          <w:color w:val="000000"/>
          <w:sz w:val="32"/>
          <w:szCs w:val="32"/>
        </w:rPr>
        <w:t>科技成果转化推介活动</w:t>
      </w:r>
    </w:p>
    <w:p w14:paraId="1BCF7D2A">
      <w:pPr>
        <w:pStyle w:val="3"/>
        <w:numPr>
          <w:ilvl w:val="0"/>
          <w:numId w:val="4"/>
        </w:numPr>
        <w:spacing w:beforeAutospacing="0" w:afterAutospacing="0" w:line="540" w:lineRule="exact"/>
        <w:ind w:firstLine="640"/>
        <w:rPr>
          <w:rFonts w:hint="eastAsia" w:ascii="楷体_GB2312" w:hAnsi="楷体" w:eastAsia="楷体_GB2312" w:cs="楷体"/>
          <w:b/>
          <w:color w:val="000000"/>
          <w:sz w:val="32"/>
          <w:szCs w:val="32"/>
        </w:rPr>
      </w:pPr>
      <w:r>
        <w:rPr>
          <w:rFonts w:hint="eastAsia" w:ascii="楷体_GB2312" w:hAnsi="楷体" w:eastAsia="楷体_GB2312" w:cs="楷体"/>
          <w:b/>
          <w:color w:val="000000"/>
          <w:sz w:val="32"/>
          <w:szCs w:val="32"/>
        </w:rPr>
        <w:t>参加条件</w:t>
      </w:r>
    </w:p>
    <w:p w14:paraId="44158160">
      <w:pPr>
        <w:pStyle w:val="3"/>
        <w:spacing w:beforeAutospacing="0" w:afterAutospacing="0"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参加主体应为本次大赛参赛项目且取得成果转化、项目签约的个人/团队。</w:t>
      </w:r>
      <w:r>
        <w:rPr>
          <w:rFonts w:hint="eastAsia" w:ascii="仿宋_GB2312" w:hAnsi="仿宋_GB2312" w:eastAsia="仿宋_GB2312" w:cs="仿宋_GB2312"/>
          <w:color w:val="000000"/>
          <w:sz w:val="32"/>
          <w:szCs w:val="32"/>
          <w:lang w:bidi="ar"/>
        </w:rPr>
        <w:t>同一参赛项目同一成果不得重复申报。</w:t>
      </w:r>
    </w:p>
    <w:p w14:paraId="7404430A">
      <w:pPr>
        <w:pStyle w:val="3"/>
        <w:numPr>
          <w:ilvl w:val="0"/>
          <w:numId w:val="4"/>
        </w:numPr>
        <w:spacing w:beforeAutospacing="0" w:afterAutospacing="0" w:line="540" w:lineRule="exact"/>
        <w:ind w:firstLine="640"/>
        <w:rPr>
          <w:rFonts w:hint="eastAsia" w:ascii="楷体_GB2312" w:hAnsi="楷体" w:eastAsia="楷体_GB2312" w:cs="楷体"/>
          <w:b/>
          <w:color w:val="000000"/>
          <w:sz w:val="32"/>
          <w:szCs w:val="32"/>
        </w:rPr>
      </w:pPr>
      <w:r>
        <w:rPr>
          <w:rFonts w:hint="eastAsia" w:ascii="楷体_GB2312" w:hAnsi="楷体" w:eastAsia="楷体_GB2312" w:cs="楷体"/>
          <w:b/>
          <w:color w:val="000000"/>
          <w:sz w:val="32"/>
          <w:szCs w:val="32"/>
        </w:rPr>
        <w:t>活动安排</w:t>
      </w:r>
    </w:p>
    <w:p w14:paraId="30E78A5B">
      <w:pPr>
        <w:pStyle w:val="3"/>
        <w:spacing w:beforeAutospacing="0" w:afterAutospacing="0"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2026年11月15日前，完成科技成果转化推介活动。对卓越工程师大赛优秀项目、成果进行现场推介，加强交流合作。</w:t>
      </w:r>
    </w:p>
    <w:p w14:paraId="18CC36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DejaVu Sans">
    <w:altName w:val="苹方-简"/>
    <w:panose1 w:val="020B0603030804020204"/>
    <w:charset w:val="00"/>
    <w:family w:val="auto"/>
    <w:pitch w:val="default"/>
    <w:sig w:usb0="00000000" w:usb1="00000000" w:usb2="0A246029" w:usb3="0400200C" w:csb0="600001FF" w:csb1="DFFF0000"/>
  </w:font>
  <w:font w:name="方正书宋_GBK">
    <w:panose1 w:val="02000000000000000000"/>
    <w:charset w:val="86"/>
    <w:family w:val="auto"/>
    <w:pitch w:val="default"/>
    <w:sig w:usb0="A00002BF" w:usb1="38CF7CFA" w:usb2="00082016" w:usb3="00000000" w:csb0="00040001" w:csb1="00000000"/>
  </w:font>
  <w:font w:name="方正黑体_GBK">
    <w:altName w:val="汉仪中黑KW"/>
    <w:panose1 w:val="02000000000000000000"/>
    <w:charset w:val="86"/>
    <w:family w:val="auto"/>
    <w:pitch w:val="default"/>
    <w:sig w:usb0="00000000" w:usb1="00000000" w:usb2="00000000" w:usb3="00000000" w:csb0="00040000" w:csb1="00000000"/>
  </w:font>
  <w:font w:name="方正小标宋简体">
    <w:altName w:val="汉仪书宋二KW"/>
    <w:panose1 w:val="02000000000000000000"/>
    <w:charset w:val="86"/>
    <w:family w:val="script"/>
    <w:pitch w:val="default"/>
    <w:sig w:usb0="00000000" w:usb1="00000000" w:usb2="00000012" w:usb3="00000000" w:csb0="00040001" w:csb1="00000000"/>
  </w:font>
  <w:font w:name="仿宋_GB2312">
    <w:panose1 w:val="00020600040101010101"/>
    <w:charset w:val="86"/>
    <w:family w:val="modern"/>
    <w:pitch w:val="default"/>
    <w:sig w:usb0="A00002BF" w:usb1="3ACF7CFA" w:usb2="00000016" w:usb3="00000000" w:csb0="0004009F" w:csb1="DFD70000"/>
  </w:font>
  <w:font w:name="楷体_GB2312">
    <w:altName w:val="汉仪楷体简"/>
    <w:panose1 w:val="02010609030101010101"/>
    <w:charset w:val="00"/>
    <w:family w:val="modern"/>
    <w:pitch w:val="default"/>
    <w:sig w:usb0="00000000" w:usb1="00000000" w:usb2="00000000" w:usb3="00000000" w:csb0="00040000" w:csb1="00000000"/>
  </w:font>
  <w:font w:name="方正楷体_GBK">
    <w:altName w:val="汉仪楷体简"/>
    <w:panose1 w:val="02000000000000000000"/>
    <w:charset w:val="86"/>
    <w:family w:val="auto"/>
    <w:pitch w:val="default"/>
    <w:sig w:usb0="00000000" w:usb1="00000000" w:usb2="00000000" w:usb3="00000000" w:csb0="00040000" w:csb1="00000000"/>
  </w:font>
  <w:font w:name="楷体">
    <w:altName w:val="汉仪楷体KW"/>
    <w:panose1 w:val="02010609060101010101"/>
    <w:charset w:val="00"/>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F6F7F"/>
    <w:multiLevelType w:val="singleLevel"/>
    <w:tmpl w:val="842F6F7F"/>
    <w:lvl w:ilvl="0" w:tentative="0">
      <w:start w:val="1"/>
      <w:numFmt w:val="chineseCounting"/>
      <w:suff w:val="nothing"/>
      <w:lvlText w:val="（%1）"/>
      <w:lvlJc w:val="left"/>
      <w:pPr>
        <w:ind w:left="-10"/>
      </w:pPr>
      <w:rPr>
        <w:rFonts w:hint="eastAsia"/>
      </w:rPr>
    </w:lvl>
  </w:abstractNum>
  <w:abstractNum w:abstractNumId="1">
    <w:nsid w:val="B5F5BB72"/>
    <w:multiLevelType w:val="singleLevel"/>
    <w:tmpl w:val="B5F5BB72"/>
    <w:lvl w:ilvl="0" w:tentative="0">
      <w:start w:val="1"/>
      <w:numFmt w:val="chineseCounting"/>
      <w:suff w:val="nothing"/>
      <w:lvlText w:val="（%1）"/>
      <w:lvlJc w:val="left"/>
      <w:rPr>
        <w:rFonts w:hint="eastAsia"/>
      </w:rPr>
    </w:lvl>
  </w:abstractNum>
  <w:abstractNum w:abstractNumId="2">
    <w:nsid w:val="16843190"/>
    <w:multiLevelType w:val="singleLevel"/>
    <w:tmpl w:val="16843190"/>
    <w:lvl w:ilvl="0" w:tentative="0">
      <w:start w:val="1"/>
      <w:numFmt w:val="chineseCounting"/>
      <w:suff w:val="nothing"/>
      <w:lvlText w:val="（%1）"/>
      <w:lvlJc w:val="left"/>
      <w:rPr>
        <w:rFonts w:hint="eastAsia"/>
      </w:rPr>
    </w:lvl>
  </w:abstractNum>
  <w:abstractNum w:abstractNumId="3">
    <w:nsid w:val="7C5373CE"/>
    <w:multiLevelType w:val="singleLevel"/>
    <w:tmpl w:val="7C5373CE"/>
    <w:lvl w:ilvl="0" w:tentative="0">
      <w:start w:val="1"/>
      <w:numFmt w:val="chineseCounting"/>
      <w:suff w:val="nothing"/>
      <w:lvlText w:val="%1、"/>
      <w:lvlJc w:val="left"/>
      <w:pPr>
        <w:ind w:left="-1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3FD32A"/>
    <w:rsid w:val="3DBC46A9"/>
    <w:rsid w:val="763FD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 w:val="24"/>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4">
    <w:name w:val="Body Text First Indent"/>
    <w:basedOn w:val="2"/>
    <w:qFormat/>
    <w:uiPriority w:val="0"/>
    <w:pPr>
      <w:spacing w:line="560" w:lineRule="exact"/>
      <w:ind w:firstLine="721"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2026-05-07T18:09:00Z</dcterms:created>
  <dc:creator>HUAWEI</dc:creator>
  <cp:lastModifiedBy>零零水</cp:lastModifiedBy>
  <dcterms:modified xsi:type="dcterms:W3CDTF">2026-05-08T13:16:35Z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A2201EAEB8622367B371FD69B8C1C663_43</vt:lpwstr>
  </property>
</Properties>
</file>